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B2B2B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对统计中弄虚作假等违法行为检举有功的单位和个人给予奖励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A55D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A55D7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类型：行政奖励</w:t>
      </w:r>
    </w:p>
    <w:tbl>
      <w:tblPr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color w:val="2B2B2B"/>
                      <w:kern w:val="0"/>
                      <w:sz w:val="18"/>
                      <w:szCs w:val="18"/>
                      <w:lang w:val="en-US" w:eastAsia="zh-CN" w:bidi="ar"/>
                    </w:rPr>
                    <w:t>法规科、办公室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240" w:lineRule="atLeast"/>
              <w:jc w:val="left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B2B2B"/>
                <w:kern w:val="0"/>
                <w:sz w:val="18"/>
                <w:szCs w:val="18"/>
                <w:lang w:val="en-US" w:eastAsia="zh-CN" w:bidi="ar"/>
              </w:rPr>
              <w:t>各类统计违法案件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hint="eastAsia" w:ascii="宋体" w:hAnsi="宋体" w:eastAsia="宋体" w:cs="宋体"/>
                <w:color w:val="2B2B2B"/>
                <w:sz w:val="18"/>
                <w:szCs w:val="18"/>
                <w:bdr w:val="none" w:color="auto" w:sz="0" w:space="0"/>
              </w:rPr>
              <w:t>    《中华人民共和国统计法》（2009年6月27日第十一届全国人民代表大会常务委员会第九次会议修订）第八条：统计工作应当接受社会公众的监督。任何单位和个人有权检举统计中弄虚作假等违法行为。对检举有功的单位和个人应当给予表彰和奖励。</w:t>
            </w:r>
            <w:r>
              <w:rPr>
                <w:rFonts w:hint="eastAsia" w:ascii="宋体" w:hAnsi="宋体" w:eastAsia="宋体" w:cs="宋体"/>
                <w:color w:val="2B2B2B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olor w:val="2B2B2B"/>
                <w:sz w:val="18"/>
                <w:szCs w:val="18"/>
                <w:bdr w:val="none" w:color="auto" w:sz="0" w:space="0"/>
              </w:rPr>
              <w:t>    《河南省统计管理条例》（2014年12月4日河南省第十二届人民代表大会常务委员会第十一次会议通过）第九条：统计工作应当接受社会公众的监督。任何单位和个人有权检举统计工作中的违法行为。对检举有功的单位和个人按照有关规定给予表彰和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受理责任：及时制定并公开奖励方案，明确奖励标准、审核流程等内容。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3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1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6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1F706900"/>
    <w:rsid w:val="6AB630E4"/>
    <w:rsid w:val="7859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51696825745A4B29A35CF438B8B842C3_13</vt:lpwstr>
  </property>
</Properties>
</file>